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FC" w:rsidRDefault="00917FFC" w:rsidP="00917FFC">
      <w:pPr>
        <w:suppressAutoHyphens/>
        <w:jc w:val="center"/>
        <w:textAlignment w:val="baseline"/>
        <w:rPr>
          <w:rFonts w:ascii="Arial" w:hAnsi="Arial" w:cs="Arial"/>
          <w:b/>
          <w:sz w:val="22"/>
          <w:szCs w:val="22"/>
        </w:rPr>
      </w:pPr>
    </w:p>
    <w:p w:rsidR="00264C33" w:rsidRPr="008628BD" w:rsidRDefault="00264C33" w:rsidP="00264C33">
      <w:pPr>
        <w:autoSpaceDN w:val="0"/>
        <w:spacing w:after="160"/>
        <w:jc w:val="center"/>
        <w:textAlignment w:val="baseline"/>
        <w:rPr>
          <w:rFonts w:ascii="Arial" w:hAnsi="Arial" w:cs="Arial"/>
          <w:b/>
          <w:sz w:val="22"/>
          <w:szCs w:val="22"/>
        </w:rPr>
      </w:pPr>
      <w:r w:rsidRPr="008628BD">
        <w:rPr>
          <w:rFonts w:ascii="Arial" w:hAnsi="Arial" w:cs="Arial"/>
          <w:b/>
          <w:sz w:val="22"/>
          <w:szCs w:val="22"/>
        </w:rPr>
        <w:t>Anexo III</w:t>
      </w:r>
      <w:bookmarkStart w:id="0" w:name="_GoBack"/>
      <w:bookmarkEnd w:id="0"/>
    </w:p>
    <w:p w:rsidR="00264C33" w:rsidRPr="008628BD" w:rsidRDefault="00264C33" w:rsidP="00264C33">
      <w:pPr>
        <w:suppressAutoHyphens/>
        <w:jc w:val="center"/>
        <w:textAlignment w:val="baseline"/>
        <w:rPr>
          <w:rFonts w:ascii="Arial" w:hAnsi="Arial" w:cs="Arial"/>
          <w:b/>
          <w:sz w:val="22"/>
          <w:szCs w:val="22"/>
        </w:rPr>
      </w:pPr>
    </w:p>
    <w:p w:rsidR="00264C33" w:rsidRPr="008628BD" w:rsidRDefault="00264C33" w:rsidP="00264C33">
      <w:pPr>
        <w:suppressAutoHyphens/>
        <w:jc w:val="center"/>
        <w:textAlignment w:val="baseline"/>
        <w:rPr>
          <w:rFonts w:ascii="Arial" w:hAnsi="Arial" w:cs="Arial"/>
          <w:b/>
          <w:sz w:val="22"/>
          <w:szCs w:val="22"/>
        </w:rPr>
      </w:pPr>
      <w:r w:rsidRPr="008628BD">
        <w:rPr>
          <w:rFonts w:ascii="Arial" w:hAnsi="Arial" w:cs="Arial"/>
          <w:b/>
          <w:sz w:val="22"/>
          <w:szCs w:val="22"/>
        </w:rPr>
        <w:t>Declaración de ausencia de conflicto de intereses (DACI) del beneficiario</w:t>
      </w:r>
    </w:p>
    <w:p w:rsidR="00264C33" w:rsidRPr="008628BD" w:rsidRDefault="00264C33" w:rsidP="00264C33">
      <w:pPr>
        <w:suppressAutoHyphens/>
        <w:autoSpaceDN w:val="0"/>
        <w:spacing w:after="120"/>
        <w:jc w:val="both"/>
        <w:textAlignment w:val="baseline"/>
        <w:rPr>
          <w:rFonts w:ascii="Arial" w:hAnsi="Arial" w:cs="Arial"/>
          <w:b/>
          <w:sz w:val="22"/>
          <w:szCs w:val="22"/>
        </w:rPr>
      </w:pPr>
    </w:p>
    <w:p w:rsidR="00264C33" w:rsidRPr="008628BD" w:rsidRDefault="00264C33" w:rsidP="00264C33">
      <w:pPr>
        <w:suppressAutoHyphens/>
        <w:autoSpaceDN w:val="0"/>
        <w:spacing w:after="120"/>
        <w:jc w:val="both"/>
        <w:textAlignment w:val="baseline"/>
        <w:rPr>
          <w:rFonts w:ascii="Arial" w:hAnsi="Arial" w:cs="Arial"/>
          <w:b/>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 xml:space="preserve">Don/Doña ……………………………………………………, con DNI/NIE………………… ……………………, representante legal de la entidad …………………………………………………………., con NIF …………………………………………………………………., y domicilio fiscal en ……………………………………………………………………………………….……………. ……………………………………………………………………………………………………. que participa como beneficiario de subvenciones convocadas por el Real Decreto </w:t>
      </w:r>
      <w:r>
        <w:rPr>
          <w:rFonts w:ascii="Arial" w:hAnsi="Arial" w:cs="Arial"/>
          <w:sz w:val="22"/>
          <w:szCs w:val="22"/>
        </w:rPr>
        <w:t>XXX/2023</w:t>
      </w:r>
      <w:r w:rsidRPr="008628BD">
        <w:rPr>
          <w:rFonts w:ascii="Arial" w:hAnsi="Arial" w:cs="Arial"/>
          <w:sz w:val="22"/>
          <w:szCs w:val="22"/>
        </w:rPr>
        <w:t xml:space="preserve">……………………………………por el que se regula la concesión directa de subvenciones a la empresa ArcelorMittal España S.A. para la ejecución del proyecto hidrógeno circular DRI, en el marco del Plan de Recuperación, Transformación y Resiliencia, en el desarrollo de actuaciones necesarias para la consecución de los objetivos definidos en el Componente 12 «Política Industrial España 2030», </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264C33">
      <w:pPr>
        <w:suppressAutoHyphens/>
        <w:autoSpaceDN w:val="0"/>
        <w:spacing w:after="120"/>
        <w:jc w:val="center"/>
        <w:textAlignment w:val="baseline"/>
        <w:rPr>
          <w:rFonts w:ascii="Arial" w:hAnsi="Arial" w:cs="Arial"/>
          <w:sz w:val="22"/>
          <w:szCs w:val="22"/>
        </w:rPr>
      </w:pPr>
      <w:r w:rsidRPr="008628BD">
        <w:rPr>
          <w:rFonts w:ascii="Arial" w:hAnsi="Arial" w:cs="Arial"/>
          <w:sz w:val="22"/>
          <w:szCs w:val="22"/>
        </w:rPr>
        <w:t>Declara</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 xml:space="preserve">PRIMERO. Estar informado de la normativa aplicable a los fondos del Mecanismo de Recuperación y Resiliencia, y específicamente de que el artículo 61.3 «Conflicto de intereses», del Reglamento (UE, </w:t>
      </w:r>
      <w:proofErr w:type="spellStart"/>
      <w:r w:rsidRPr="008628BD">
        <w:rPr>
          <w:rFonts w:ascii="Arial" w:hAnsi="Arial" w:cs="Arial"/>
          <w:sz w:val="22"/>
          <w:szCs w:val="22"/>
        </w:rPr>
        <w:t>Euratom</w:t>
      </w:r>
      <w:proofErr w:type="spellEnd"/>
      <w:r w:rsidRPr="008628BD">
        <w:rPr>
          <w:rFonts w:ascii="Arial" w:hAnsi="Arial" w:cs="Arial"/>
          <w:sz w:val="22"/>
          <w:szCs w:val="22"/>
        </w:rPr>
        <w:t>) 2018/1046 del Parlamento Europeo y del Consejo, de 18 de julio (Reglamento financiero de la UE) establece que «</w:t>
      </w:r>
      <w:r w:rsidRPr="008628BD">
        <w:rPr>
          <w:rFonts w:ascii="Arial" w:hAnsi="Arial" w:cs="Arial"/>
          <w:i/>
          <w:sz w:val="22"/>
          <w:szCs w:val="22"/>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8628BD">
        <w:rPr>
          <w:rFonts w:ascii="Arial" w:hAnsi="Arial" w:cs="Arial"/>
          <w:sz w:val="22"/>
          <w:szCs w:val="22"/>
        </w:rPr>
        <w:t>»</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SEGUNDO. Que la empresa que representa no se encuentra incursa en ninguna situación que pueda calificarse de conflicto de intereses de las indicadas en el artículo 61.3 del Reglamento Financiero de la UE que pueda afectar al procedimiento de concesión.</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TERCERO. Que se compromete a poner en conocimiento del órgano concedente, sin dilación, cualquier situación de conflicto de intereses que dé o pudiera dar lugar a dicho escenario.</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264C33">
      <w:pPr>
        <w:suppressAutoHyphens/>
        <w:autoSpaceDN w:val="0"/>
        <w:spacing w:after="120"/>
        <w:jc w:val="both"/>
        <w:textAlignment w:val="baseline"/>
        <w:rPr>
          <w:rFonts w:ascii="Arial" w:hAnsi="Arial" w:cs="Arial"/>
          <w:sz w:val="22"/>
          <w:szCs w:val="22"/>
        </w:rPr>
      </w:pPr>
      <w:r w:rsidRPr="008628BD">
        <w:rPr>
          <w:rFonts w:ascii="Arial" w:hAnsi="Arial" w:cs="Arial"/>
          <w:sz w:val="22"/>
          <w:szCs w:val="22"/>
        </w:rPr>
        <w:t>CUARTO. Que conoce que una declaración de ausencia de conflicto de intereses que se demuestre que sea falsa, acarreará las consecuencias administrativas o judiciales que establezca la normativa de aplicación.</w:t>
      </w:r>
    </w:p>
    <w:p w:rsidR="00264C33" w:rsidRPr="008628BD" w:rsidRDefault="00264C33" w:rsidP="00264C33">
      <w:pPr>
        <w:suppressAutoHyphens/>
        <w:autoSpaceDN w:val="0"/>
        <w:spacing w:after="120"/>
        <w:jc w:val="both"/>
        <w:textAlignment w:val="baseline"/>
        <w:rPr>
          <w:rFonts w:ascii="Arial" w:hAnsi="Arial" w:cs="Arial"/>
          <w:sz w:val="22"/>
          <w:szCs w:val="22"/>
        </w:rPr>
      </w:pPr>
    </w:p>
    <w:p w:rsidR="00264C33" w:rsidRPr="008628BD" w:rsidRDefault="00264C33" w:rsidP="00510B65">
      <w:pPr>
        <w:suppressAutoHyphens/>
        <w:spacing w:after="160" w:line="259" w:lineRule="auto"/>
        <w:ind w:firstLine="708"/>
        <w:jc w:val="both"/>
        <w:textAlignment w:val="baseline"/>
        <w:rPr>
          <w:rFonts w:ascii="Arial" w:hAnsi="Arial" w:cs="Arial"/>
          <w:sz w:val="22"/>
          <w:szCs w:val="22"/>
        </w:rPr>
      </w:pPr>
    </w:p>
    <w:sectPr w:rsidR="00264C33" w:rsidRPr="008628BD" w:rsidSect="00917FFC">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4D" w:rsidRDefault="00A8514D" w:rsidP="00917FFC">
      <w:r>
        <w:separator/>
      </w:r>
    </w:p>
  </w:endnote>
  <w:endnote w:type="continuationSeparator" w:id="0">
    <w:p w:rsidR="00A8514D" w:rsidRDefault="00A8514D" w:rsidP="009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20865"/>
      <w:docPartObj>
        <w:docPartGallery w:val="Page Numbers (Bottom of Page)"/>
        <w:docPartUnique/>
      </w:docPartObj>
    </w:sdtPr>
    <w:sdtEndPr/>
    <w:sdtContent>
      <w:sdt>
        <w:sdtPr>
          <w:id w:val="1728636285"/>
          <w:docPartObj>
            <w:docPartGallery w:val="Page Numbers (Top of Page)"/>
            <w:docPartUnique/>
          </w:docPartObj>
        </w:sdtPr>
        <w:sdtEndPr/>
        <w:sdtContent>
          <w:p w:rsidR="00917FFC" w:rsidRDefault="00917FFC">
            <w:pPr>
              <w:pStyle w:val="Piedepgina"/>
              <w:jc w:val="center"/>
            </w:pPr>
            <w:r w:rsidRPr="00917FFC">
              <w:rPr>
                <w:rFonts w:ascii="Arial" w:hAnsi="Arial" w:cs="Arial"/>
                <w:bCs/>
                <w:i/>
                <w:sz w:val="16"/>
                <w:szCs w:val="16"/>
              </w:rPr>
              <w:fldChar w:fldCharType="begin"/>
            </w:r>
            <w:r w:rsidRPr="00917FFC">
              <w:rPr>
                <w:rFonts w:ascii="Arial" w:hAnsi="Arial" w:cs="Arial"/>
                <w:bCs/>
                <w:i/>
                <w:sz w:val="16"/>
                <w:szCs w:val="16"/>
              </w:rPr>
              <w:instrText>PAGE</w:instrText>
            </w:r>
            <w:r w:rsidRPr="00917FFC">
              <w:rPr>
                <w:rFonts w:ascii="Arial" w:hAnsi="Arial" w:cs="Arial"/>
                <w:bCs/>
                <w:i/>
                <w:sz w:val="16"/>
                <w:szCs w:val="16"/>
              </w:rPr>
              <w:fldChar w:fldCharType="separate"/>
            </w:r>
            <w:r w:rsidR="00AD3C42">
              <w:rPr>
                <w:rFonts w:ascii="Arial" w:hAnsi="Arial" w:cs="Arial"/>
                <w:bCs/>
                <w:i/>
                <w:noProof/>
                <w:sz w:val="16"/>
                <w:szCs w:val="16"/>
              </w:rPr>
              <w:t>1</w:t>
            </w:r>
            <w:r w:rsidRPr="00917FFC">
              <w:rPr>
                <w:rFonts w:ascii="Arial" w:hAnsi="Arial" w:cs="Arial"/>
                <w:bCs/>
                <w:i/>
                <w:sz w:val="16"/>
                <w:szCs w:val="16"/>
              </w:rPr>
              <w:fldChar w:fldCharType="end"/>
            </w:r>
            <w:r w:rsidRPr="00917FFC">
              <w:rPr>
                <w:rFonts w:ascii="Arial" w:hAnsi="Arial" w:cs="Arial"/>
                <w:i/>
                <w:sz w:val="16"/>
                <w:szCs w:val="16"/>
              </w:rPr>
              <w:t xml:space="preserve"> de </w:t>
            </w:r>
            <w:r w:rsidRPr="00917FFC">
              <w:rPr>
                <w:rFonts w:ascii="Arial" w:hAnsi="Arial" w:cs="Arial"/>
                <w:bCs/>
                <w:i/>
                <w:sz w:val="16"/>
                <w:szCs w:val="16"/>
              </w:rPr>
              <w:fldChar w:fldCharType="begin"/>
            </w:r>
            <w:r w:rsidRPr="00917FFC">
              <w:rPr>
                <w:rFonts w:ascii="Arial" w:hAnsi="Arial" w:cs="Arial"/>
                <w:bCs/>
                <w:i/>
                <w:sz w:val="16"/>
                <w:szCs w:val="16"/>
              </w:rPr>
              <w:instrText>NUMPAGES</w:instrText>
            </w:r>
            <w:r w:rsidRPr="00917FFC">
              <w:rPr>
                <w:rFonts w:ascii="Arial" w:hAnsi="Arial" w:cs="Arial"/>
                <w:bCs/>
                <w:i/>
                <w:sz w:val="16"/>
                <w:szCs w:val="16"/>
              </w:rPr>
              <w:fldChar w:fldCharType="separate"/>
            </w:r>
            <w:r w:rsidR="00AD3C42">
              <w:rPr>
                <w:rFonts w:ascii="Arial" w:hAnsi="Arial" w:cs="Arial"/>
                <w:bCs/>
                <w:i/>
                <w:noProof/>
                <w:sz w:val="16"/>
                <w:szCs w:val="16"/>
              </w:rPr>
              <w:t>1</w:t>
            </w:r>
            <w:r w:rsidRPr="00917FFC">
              <w:rPr>
                <w:rFonts w:ascii="Arial" w:hAnsi="Arial" w:cs="Arial"/>
                <w:bCs/>
                <w:i/>
                <w:sz w:val="16"/>
                <w:szCs w:val="16"/>
              </w:rPr>
              <w:fldChar w:fldCharType="end"/>
            </w:r>
          </w:p>
        </w:sdtContent>
      </w:sdt>
    </w:sdtContent>
  </w:sdt>
  <w:p w:rsidR="00917FFC" w:rsidRDefault="00917F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4D" w:rsidRDefault="00A8514D" w:rsidP="00917FFC">
      <w:r>
        <w:separator/>
      </w:r>
    </w:p>
  </w:footnote>
  <w:footnote w:type="continuationSeparator" w:id="0">
    <w:p w:rsidR="00A8514D" w:rsidRDefault="00A8514D" w:rsidP="0091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FC" w:rsidRDefault="00AD3C42">
    <w:pPr>
      <w:pStyle w:val="Encabezado"/>
    </w:pPr>
    <w:r>
      <w:rPr>
        <w:noProof/>
      </w:rPr>
      <w:drawing>
        <wp:anchor distT="0" distB="0" distL="114300" distR="114300" simplePos="0" relativeHeight="251659264" behindDoc="0" locked="0" layoutInCell="1" allowOverlap="1" wp14:anchorId="42D89A1D" wp14:editId="0A9D1624">
          <wp:simplePos x="0" y="0"/>
          <wp:positionH relativeFrom="margin">
            <wp:posOffset>343682</wp:posOffset>
          </wp:positionH>
          <wp:positionV relativeFrom="paragraph">
            <wp:posOffset>-232410</wp:posOffset>
          </wp:positionV>
          <wp:extent cx="5351145" cy="810260"/>
          <wp:effectExtent l="0" t="0" r="1905" b="8890"/>
          <wp:wrapTopAndBottom/>
          <wp:docPr id="7" name="Imagen 7" descr="Plan de Recuperación, Transformación y Resiliencia – Financiado por la Unión Europea – Next GenerationEU&#10;Gobierno de España&#10;Ministerio de Industria, Turismo y Comercio&#10;Secretaria General de Industria y de la Pequeña y Mediana Empresa&#10;Escuela de Organización Indus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lan de Recuperación, Transformación y Resiliencia – Financiado por la Unión Europea – Next GenerationEU&#10;Gobierno de España&#10;Ministerio de Industria, Turismo y Comercio&#10;Secretaria General de Industria y de la Pequeña y Mediana Empresa&#10;Escuela de Organización Industrial "/>
                  <pic:cNvPicPr/>
                </pic:nvPicPr>
                <pic:blipFill rotWithShape="1">
                  <a:blip r:embed="rId1">
                    <a:extLst>
                      <a:ext uri="{28A0092B-C50C-407E-A947-70E740481C1C}">
                        <a14:useLocalDpi xmlns:a14="http://schemas.microsoft.com/office/drawing/2010/main" val="0"/>
                      </a:ext>
                    </a:extLst>
                  </a:blip>
                  <a:srcRect r="17614"/>
                  <a:stretch/>
                </pic:blipFill>
                <pic:spPr bwMode="auto">
                  <a:xfrm>
                    <a:off x="0" y="0"/>
                    <a:ext cx="5351145" cy="81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FC"/>
    <w:rsid w:val="00264C33"/>
    <w:rsid w:val="004D298C"/>
    <w:rsid w:val="00510B65"/>
    <w:rsid w:val="00850C18"/>
    <w:rsid w:val="00917FFC"/>
    <w:rsid w:val="00A8514D"/>
    <w:rsid w:val="00AD3C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430B92-BA58-4F41-A950-1F035B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FFC"/>
    <w:pPr>
      <w:tabs>
        <w:tab w:val="center" w:pos="4252"/>
        <w:tab w:val="right" w:pos="8504"/>
      </w:tabs>
    </w:pPr>
  </w:style>
  <w:style w:type="character" w:customStyle="1" w:styleId="EncabezadoCar">
    <w:name w:val="Encabezado Car"/>
    <w:basedOn w:val="Fuentedeprrafopredeter"/>
    <w:link w:val="Encabezado"/>
    <w:uiPriority w:val="99"/>
    <w:rsid w:val="00917FFC"/>
  </w:style>
  <w:style w:type="paragraph" w:styleId="Piedepgina">
    <w:name w:val="footer"/>
    <w:basedOn w:val="Normal"/>
    <w:link w:val="PiedepginaCar"/>
    <w:uiPriority w:val="99"/>
    <w:unhideWhenUsed/>
    <w:rsid w:val="00917FFC"/>
    <w:pPr>
      <w:tabs>
        <w:tab w:val="center" w:pos="4252"/>
        <w:tab w:val="right" w:pos="8504"/>
      </w:tabs>
    </w:pPr>
  </w:style>
  <w:style w:type="character" w:customStyle="1" w:styleId="PiedepginaCar">
    <w:name w:val="Pie de página Car"/>
    <w:basedOn w:val="Fuentedeprrafopredeter"/>
    <w:link w:val="Piedepgina"/>
    <w:uiPriority w:val="99"/>
    <w:rsid w:val="00917FFC"/>
  </w:style>
  <w:style w:type="paragraph" w:styleId="Textonotapie">
    <w:name w:val="footnote text"/>
    <w:basedOn w:val="Normal"/>
    <w:link w:val="TextonotapieCar"/>
    <w:rsid w:val="00917FFC"/>
    <w:pPr>
      <w:suppressAutoHyphens/>
      <w:autoSpaceDN w:val="0"/>
      <w:spacing w:after="120"/>
      <w:jc w:val="both"/>
      <w:textAlignment w:val="baseline"/>
    </w:pPr>
    <w:rPr>
      <w:rFonts w:ascii="Arial" w:hAnsi="Arial" w:cs="Arial"/>
      <w:sz w:val="20"/>
      <w:szCs w:val="20"/>
    </w:rPr>
  </w:style>
  <w:style w:type="character" w:customStyle="1" w:styleId="TextonotapieCar">
    <w:name w:val="Texto nota pie Car"/>
    <w:basedOn w:val="Fuentedeprrafopredeter"/>
    <w:link w:val="Textonotapie"/>
    <w:rsid w:val="00917FFC"/>
    <w:rPr>
      <w:rFonts w:ascii="Arial" w:eastAsia="Times New Roman" w:hAnsi="Arial" w:cs="Arial"/>
      <w:sz w:val="20"/>
      <w:szCs w:val="20"/>
      <w:lang w:eastAsia="es-ES"/>
    </w:rPr>
  </w:style>
  <w:style w:type="character" w:styleId="Refdenotaalpie">
    <w:name w:val="footnote reference"/>
    <w:basedOn w:val="Fuentedeprrafopredeter"/>
    <w:rsid w:val="00917FFC"/>
    <w:rPr>
      <w:position w:val="0"/>
      <w:vertAlign w:val="superscript"/>
    </w:rPr>
  </w:style>
  <w:style w:type="table" w:customStyle="1" w:styleId="Tablaconcuadrcula1">
    <w:name w:val="Tabla con cuadrícula1"/>
    <w:basedOn w:val="Tablanormal"/>
    <w:next w:val="Tablaconcuadrcula"/>
    <w:rsid w:val="00917FF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91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1736</Characters>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 Declaración ausencia conflicto interés (DACI) beneficiario</dc:title>
  <dc:subject/>
  <dc:creator>Mincotur</dc:creator>
  <cp:keywords/>
  <dc:description/>
  <dcterms:created xsi:type="dcterms:W3CDTF">2023-04-11T09:10:00Z</dcterms:created>
  <dcterms:modified xsi:type="dcterms:W3CDTF">2023-04-12T10:51:00Z</dcterms:modified>
</cp:coreProperties>
</file>