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Anexo I</w:t>
      </w: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Estructura y contenido de la memoria de evaluació</w:t>
      </w:r>
      <w:bookmarkStart w:id="0" w:name="_GoBack"/>
      <w:bookmarkEnd w:id="0"/>
      <w:r w:rsidRPr="008628BD">
        <w:rPr>
          <w:rFonts w:ascii="Arial" w:hAnsi="Arial" w:cs="Arial"/>
          <w:b/>
          <w:sz w:val="22"/>
          <w:szCs w:val="22"/>
        </w:rPr>
        <w:t>n sustantiva de las actividades del proyecto que determine el cumplimiento de no causar un perjuicio significativo</w:t>
      </w:r>
    </w:p>
    <w:p w:rsidR="00917FFC" w:rsidRPr="008628BD" w:rsidRDefault="00917FFC" w:rsidP="00917FFC">
      <w:pPr>
        <w:suppressAutoHyphens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A fin de valorar que el proyecto no ocasiona a lo largo de todo su ciclo de vida, incluyendo su ejecución y el impacto de sus resultados, un perjuicio significativo, directo o indirecto, al medio ambiente, «principio DNSH»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628BD">
        <w:rPr>
          <w:rFonts w:ascii="Arial" w:hAnsi="Arial" w:cs="Arial"/>
          <w:sz w:val="22"/>
          <w:szCs w:val="22"/>
        </w:rPr>
        <w:t>, se deben cumplimentar las siguientes tablas de verificación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628BD">
        <w:rPr>
          <w:rFonts w:ascii="Arial" w:hAnsi="Arial" w:cs="Arial"/>
          <w:sz w:val="22"/>
          <w:szCs w:val="22"/>
        </w:rPr>
        <w:t>,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8628BD">
        <w:rPr>
          <w:rFonts w:ascii="Arial" w:hAnsi="Arial" w:cs="Arial"/>
          <w:sz w:val="22"/>
          <w:szCs w:val="22"/>
        </w:rPr>
        <w:t xml:space="preserve">. 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Paso 1: En relación con el proyecto, indique cuáles de los siguientes objetivos medioambientales</w:t>
      </w:r>
      <w:r w:rsidRPr="008628BD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8628BD">
        <w:rPr>
          <w:rFonts w:ascii="Arial" w:hAnsi="Arial" w:cs="Arial"/>
          <w:sz w:val="22"/>
          <w:szCs w:val="22"/>
        </w:rPr>
        <w:t xml:space="preserve"> requieren una evaluación sustantiva (más detallada y exhaustiva) según el «principio DNSH»: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681"/>
        <w:gridCol w:w="681"/>
        <w:gridCol w:w="2712"/>
      </w:tblGrid>
      <w:tr w:rsidR="00917FFC" w:rsidRPr="008628BD" w:rsidTr="0006089B">
        <w:trPr>
          <w:trHeight w:val="300"/>
        </w:trPr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Objetivos medioambientales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Sí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Si ha seleccionado "No", explique los motivos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Mitigación del cambio climático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Adaptación al cambio climático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Uso sostenible y protección de los recursos hídricos y marinos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Economía circular, incluidos la prevención y el reciclado de residuos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Prevención y control de la contaminación a la atmósfera, el agua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17FFC" w:rsidRPr="008628BD" w:rsidTr="0006089B">
        <w:trPr>
          <w:trHeight w:val="300"/>
        </w:trPr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Protección y restauración de la biodiversidad y los ecosistemas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FC" w:rsidRPr="008628BD" w:rsidRDefault="00917FFC" w:rsidP="0006089B">
            <w:pPr>
              <w:suppressAutoHyphens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Para responder «No» a cualquiera de los objetivos anteriores, deberá proporcionarse una motivación basada en alguna de las siguientes justificaciones: 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0"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El proyecto, por su diseño y naturaleza, tiene un impacto negativo inexistente o insignificante sobre el objetivo considerado en todo su ciclo de vida (producción, uso y final), y, en consecuencia, se considera que cumple el principio DNSH por lo que respecta al objetivo en cuestión;</w:t>
      </w:r>
    </w:p>
    <w:p w:rsidR="00917FFC" w:rsidRPr="008628BD" w:rsidRDefault="00917FFC" w:rsidP="00917F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0"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Se trata de proyectos relacionados con los campos de intervención (etiquetas) establecidos en el anexo VI del Reglamento 2021/24, que tengan un coeficiente del 100% de contribución a los </w:t>
      </w:r>
      <w:r w:rsidRPr="008628BD">
        <w:rPr>
          <w:rFonts w:ascii="Arial" w:hAnsi="Arial" w:cs="Arial"/>
          <w:sz w:val="22"/>
          <w:szCs w:val="22"/>
        </w:rPr>
        <w:lastRenderedPageBreak/>
        <w:t>objetivos climáticos (en este caso, deberá indicarse el campo de intervención con el que se identifica el proyecto, de los recogidos en el anexo VI mencionado);</w:t>
      </w:r>
    </w:p>
    <w:p w:rsidR="00917FFC" w:rsidRPr="008628BD" w:rsidRDefault="00917FFC" w:rsidP="00917F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0"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Contribuye sustancialmente al objetivo que se está evaluando de acuerdo con el Reglamento 2020/852. Para determinar la contribución sustancial para los objetivos de mitigación del cambio climático y adaptación al mismo, se puede consultar el Reglamento Delegado (UE) 2021/2139 de la Comisión, de 4 de junio de 2021, por el que se completa el Reglamento (UE) 2020/852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mismo, y para determinar si esa actividad económica no causa un perjuicio significativo a ninguno de los demás objetivos ambientales.</w:t>
      </w:r>
    </w:p>
    <w:p w:rsidR="00917FFC" w:rsidRPr="008628BD" w:rsidRDefault="00917FFC" w:rsidP="00917FFC">
      <w:pPr>
        <w:suppressAutoHyphens/>
        <w:autoSpaceDN w:val="0"/>
        <w:ind w:left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Paso 2: Sólo en el caso de que se responda SÍ a alguno de los objetivos medioambientales anteriores, deberá ofrecerse una evaluación sustantiva (detallada y más exhaustiva) según el principio DNSH.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Debe tenerse en cuenta que todos los proyectos deben cumplir con el principio DNSH. Por lo tanto, la respuesta a las preguntas de la parte 2 de la lista de verificación debe ser «No», a fin de indicar que no se está causando un perjuicio significativo al objetivo medioambiental en cuestión.</w:t>
      </w: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7FFC" w:rsidRPr="008628BD" w:rsidRDefault="00917FFC" w:rsidP="00917FFC">
      <w:pPr>
        <w:suppressAutoHyphens/>
        <w:autoSpaceDN w:val="0"/>
        <w:ind w:firstLine="284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709"/>
        <w:gridCol w:w="2545"/>
      </w:tblGrid>
      <w:tr w:rsidR="00917FFC" w:rsidRPr="008628BD" w:rsidTr="0006089B">
        <w:trPr>
          <w:trHeight w:val="495"/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Pregunta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Justificación sustantiva</w:t>
            </w: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 xml:space="preserve">Mitigación del cambio climático: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¿Se prevé que la medida lleve a un aumento significativo de las emisiones de Gases de Efecto Invernadero?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Adaptación al cambio climático: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¿Se espera que la medida dé lugar a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Uso sostenible y protección de los recursos hídricos y marinos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 xml:space="preserve">¿Se espera que la medida sea perjudicial: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 xml:space="preserve">(i) del buen estado o del buen potencial ecológico de las masas de agua, incluidas las superficiales y subterráneas;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(ii) para el buen estado medioambiental de las aguas marinas?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Transición hacia una economía circular, incluyendo la prevención y reciclado de residuos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¿Se espera que la medida X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(i) dé lugar a un aumento significativo de la generación, incineración o eliminación de residuos, excepto la incineración de residuos peligrosos no reciclables;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(ii) genere importantes ineficiencias en el uso directo o indirecto de recursos naturales en cualquiera de las fases de su ciclo de vida, que no se minimicen con medidas adecuadas;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lastRenderedPageBreak/>
              <w:t xml:space="preserve">(iii) dé lugar a un perjuicio significativo y a largo plazo para el medio ambiente en relación a la economía circular? 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lastRenderedPageBreak/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Prevención y control de la contaminación al aire, agua y suelo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¿Se espera que la medida dé lugar a un aumento significativo de las emisiones de contaminantes a la atmósfera, el agua o el suelo? 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17FFC" w:rsidRPr="008628BD" w:rsidTr="0006089B">
        <w:trPr>
          <w:jc w:val="center"/>
        </w:trPr>
        <w:tc>
          <w:tcPr>
            <w:tcW w:w="5240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>Protección y recuperación de la biodiversidad y los ecosistemas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¿Se espera que la medida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(i) vaya en gran medida en detrimento de las buenas condiciones y la resiliencia de los ecosistemas; o </w:t>
            </w:r>
          </w:p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iCs/>
                <w:sz w:val="22"/>
                <w:szCs w:val="22"/>
              </w:rPr>
              <w:t xml:space="preserve">(ii) vaya en detrimento del estado de conservación de los hábitats y las especies, en particular de aquellos de interés para la Unión? </w:t>
            </w:r>
          </w:p>
        </w:tc>
        <w:tc>
          <w:tcPr>
            <w:tcW w:w="709" w:type="dxa"/>
            <w:vAlign w:val="center"/>
          </w:tcPr>
          <w:p w:rsidR="00917FFC" w:rsidRPr="008628BD" w:rsidRDefault="00917FFC" w:rsidP="0006089B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8628B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545" w:type="dxa"/>
            <w:vAlign w:val="center"/>
          </w:tcPr>
          <w:p w:rsidR="00917FFC" w:rsidRPr="008628BD" w:rsidRDefault="00917FFC" w:rsidP="0006089B">
            <w:pPr>
              <w:suppressAutoHyphen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17FFC" w:rsidRPr="008628BD" w:rsidRDefault="00917FFC" w:rsidP="00917FFC">
      <w:pPr>
        <w:keepNext/>
        <w:tabs>
          <w:tab w:val="left" w:pos="1815"/>
        </w:tabs>
        <w:autoSpaceDN w:val="0"/>
        <w:outlineLvl w:val="0"/>
        <w:rPr>
          <w:rFonts w:ascii="Arial" w:hAnsi="Arial" w:cs="Arial"/>
          <w:bCs/>
          <w:sz w:val="22"/>
          <w:szCs w:val="22"/>
        </w:rPr>
      </w:pPr>
    </w:p>
    <w:sectPr w:rsidR="00917FFC" w:rsidRPr="008628BD" w:rsidSect="006E09D5">
      <w:headerReference w:type="default" r:id="rId7"/>
      <w:footerReference w:type="default" r:id="rId8"/>
      <w:pgSz w:w="11906" w:h="16838"/>
      <w:pgMar w:top="1417" w:right="127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D8" w:rsidRDefault="005308D8" w:rsidP="00917FFC">
      <w:r>
        <w:separator/>
      </w:r>
    </w:p>
  </w:endnote>
  <w:endnote w:type="continuationSeparator" w:id="0">
    <w:p w:rsidR="005308D8" w:rsidRDefault="005308D8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D4405C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3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D4405C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3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D8" w:rsidRDefault="005308D8" w:rsidP="00917FFC">
      <w:r>
        <w:separator/>
      </w:r>
    </w:p>
  </w:footnote>
  <w:footnote w:type="continuationSeparator" w:id="0">
    <w:p w:rsidR="005308D8" w:rsidRDefault="005308D8" w:rsidP="00917FFC">
      <w:r>
        <w:continuationSeparator/>
      </w:r>
    </w:p>
  </w:footnote>
  <w:footnote w:id="1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D</w:t>
      </w:r>
      <w:r w:rsidRPr="0005158B">
        <w:t>e acuerdo con el artículo 17 del Reglamento (UE) 2020/852 del Parlamento Europeo y del Consejo de 18 de junio de 2020 (Reglamento de Taxonomía)</w:t>
      </w:r>
      <w:r>
        <w:t>.</w:t>
      </w:r>
    </w:p>
  </w:footnote>
  <w:footnote w:id="2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C</w:t>
      </w:r>
      <w:r w:rsidRPr="0005158B">
        <w:t>onforme a la Guía técnica sobre la aplicación del principio de «no causar un perjuicio significativo» en virtud del Reglamento relativo al Mecanismo de Recuperación y Resiliencia (2021/C 58/01)</w:t>
      </w:r>
      <w:r>
        <w:t>.</w:t>
      </w:r>
    </w:p>
  </w:footnote>
  <w:footnote w:id="3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35AFE">
        <w:t>Estas tablas deberán cumplimentarse atendiendo tanto a la citada Guía como al Reglamento de Taxonomía, así como al resto de normativa que se considere relevante para cada objetivo evaluado, pudiendo consultarse para ello los actos delegados de Taxonomía (</w:t>
      </w:r>
      <w:r>
        <w:t>«</w:t>
      </w:r>
      <w:proofErr w:type="spellStart"/>
      <w:r w:rsidRPr="00F35AFE">
        <w:t>Supplementing</w:t>
      </w:r>
      <w:proofErr w:type="spellEnd"/>
      <w:r w:rsidRPr="00F35AFE">
        <w:t xml:space="preserve"> </w:t>
      </w:r>
      <w:proofErr w:type="spellStart"/>
      <w:r w:rsidRPr="00F35AFE">
        <w:t>Regulation</w:t>
      </w:r>
      <w:proofErr w:type="spellEnd"/>
      <w:r w:rsidRPr="00F35AFE">
        <w:t xml:space="preserve"> (EU) 2020/852 of </w:t>
      </w:r>
      <w:proofErr w:type="spellStart"/>
      <w:r w:rsidRPr="00F35AFE">
        <w:t>the</w:t>
      </w:r>
      <w:proofErr w:type="spellEnd"/>
      <w:r w:rsidRPr="00F35AFE">
        <w:t xml:space="preserve"> </w:t>
      </w:r>
      <w:proofErr w:type="spellStart"/>
      <w:r w:rsidRPr="00F35AFE">
        <w:t>European</w:t>
      </w:r>
      <w:proofErr w:type="spellEnd"/>
      <w:r w:rsidRPr="00F35AFE">
        <w:t xml:space="preserve"> </w:t>
      </w:r>
      <w:proofErr w:type="spellStart"/>
      <w:r w:rsidRPr="00F35AFE">
        <w:t>Parliament</w:t>
      </w:r>
      <w:proofErr w:type="spellEnd"/>
      <w:r>
        <w:t>»</w:t>
      </w:r>
      <w:r w:rsidRPr="00F35AFE">
        <w:t>).</w:t>
      </w:r>
    </w:p>
  </w:footnote>
  <w:footnote w:id="4">
    <w:p w:rsidR="00917FFC" w:rsidRDefault="00917FFC" w:rsidP="00917FFC">
      <w:pPr>
        <w:pStyle w:val="Textonotapie"/>
      </w:pPr>
      <w:r>
        <w:rPr>
          <w:rStyle w:val="Refdenotaalpie"/>
        </w:rPr>
        <w:footnoteRef/>
      </w:r>
      <w:r>
        <w:t xml:space="preserve"> Objetivos medioambientales </w:t>
      </w:r>
      <w:r w:rsidRPr="00AC43E2">
        <w:t>recogidos en el artículo 9 del Reglamento (UE) 2020/852 del Parlamento Europeo y del Consejo, de 18 de junio de 2020, relativo al establecimiento de un marco para facilitar las inversiones sostenibles y por el que se modifica el Reglamento (UE) 2019/2088 (</w:t>
      </w:r>
      <w:r>
        <w:t>«</w:t>
      </w:r>
      <w:r w:rsidRPr="00AC43E2">
        <w:t>Reglamento de Taxonomía</w:t>
      </w:r>
      <w:r>
        <w:t>»</w:t>
      </w:r>
      <w:r w:rsidRPr="00AC43E2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6E09D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3CD04" wp14:editId="0E8D08FE">
          <wp:simplePos x="0" y="0"/>
          <wp:positionH relativeFrom="margin">
            <wp:posOffset>372598</wp:posOffset>
          </wp:positionH>
          <wp:positionV relativeFrom="paragraph">
            <wp:posOffset>35560</wp:posOffset>
          </wp:positionV>
          <wp:extent cx="5351145" cy="810260"/>
          <wp:effectExtent l="0" t="0" r="1905" b="8890"/>
          <wp:wrapTopAndBottom/>
          <wp:docPr id="7" name="Imagen 7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4"/>
                  <a:stretch/>
                </pic:blipFill>
                <pic:spPr bwMode="auto">
                  <a:xfrm>
                    <a:off x="0" y="0"/>
                    <a:ext cx="5351145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1F23FC"/>
    <w:rsid w:val="005308D8"/>
    <w:rsid w:val="006E09D5"/>
    <w:rsid w:val="00850C18"/>
    <w:rsid w:val="00917FFC"/>
    <w:rsid w:val="00D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4230</Characters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Memoria evaluación sustantiva cumplimiento DNSH</dc:title>
  <dc:subject/>
  <dc:creator>Mincotur</dc:creator>
  <cp:keywords/>
  <dc:description/>
  <dcterms:created xsi:type="dcterms:W3CDTF">2023-04-11T09:01:00Z</dcterms:created>
  <dcterms:modified xsi:type="dcterms:W3CDTF">2023-04-12T10:57:00Z</dcterms:modified>
</cp:coreProperties>
</file>